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right="-199" w:rightChars="-95" w:firstLine="2811" w:firstLineChars="1000"/>
        <w:rPr>
          <w:rFonts w:hint="eastAsia" w:ascii="仿宋" w:hAnsi="仿宋" w:eastAsia="仿宋" w:cs="仿宋"/>
          <w:b/>
          <w:bCs/>
          <w:color w:val="000000"/>
          <w:sz w:val="24"/>
        </w:rPr>
      </w:pPr>
      <w:r>
        <w:rPr>
          <w:rFonts w:hint="eastAsia" w:ascii="仿宋" w:hAnsi="仿宋" w:eastAsia="仿宋" w:cs="仿宋"/>
          <w:b/>
          <w:bCs/>
          <w:color w:val="000000"/>
          <w:sz w:val="28"/>
          <w:szCs w:val="28"/>
        </w:rPr>
        <w:t>2、项目要求（采购需求）</w:t>
      </w:r>
    </w:p>
    <w:p>
      <w:pPr>
        <w:spacing w:line="400" w:lineRule="exact"/>
        <w:ind w:firstLine="482" w:firstLineChars="200"/>
        <w:rPr>
          <w:rFonts w:hint="eastAsia" w:ascii="仿宋" w:hAnsi="仿宋" w:eastAsia="仿宋" w:cs="仿宋"/>
          <w:b/>
          <w:color w:val="000000"/>
          <w:kern w:val="0"/>
          <w:sz w:val="24"/>
        </w:rPr>
      </w:pPr>
    </w:p>
    <w:p>
      <w:pPr>
        <w:rPr>
          <w:rFonts w:hint="eastAsia" w:ascii="仿宋" w:hAnsi="仿宋" w:eastAsia="仿宋" w:cs="仿宋"/>
          <w:b/>
          <w:color w:val="000000"/>
          <w:sz w:val="24"/>
        </w:rPr>
      </w:pPr>
      <w:r>
        <w:rPr>
          <w:rFonts w:hint="eastAsia" w:ascii="仿宋" w:hAnsi="仿宋" w:eastAsia="仿宋" w:cs="仿宋"/>
          <w:b/>
          <w:color w:val="000000"/>
          <w:sz w:val="24"/>
        </w:rPr>
        <w:t>一、采购项目预算金额</w:t>
      </w:r>
    </w:p>
    <w:p>
      <w:pPr>
        <w:pStyle w:val="11"/>
        <w:spacing w:line="400" w:lineRule="exact"/>
        <w:ind w:firstLine="240" w:firstLineChars="100"/>
        <w:jc w:val="left"/>
        <w:rPr>
          <w:rFonts w:hint="eastAsia" w:ascii="仿宋" w:hAnsi="仿宋" w:eastAsia="仿宋" w:cs="仿宋"/>
          <w:sz w:val="24"/>
        </w:rPr>
      </w:pPr>
      <w:r>
        <w:rPr>
          <w:rFonts w:hint="eastAsia" w:ascii="仿宋" w:hAnsi="仿宋" w:eastAsia="仿宋" w:cs="仿宋"/>
          <w:sz w:val="24"/>
        </w:rPr>
        <w:t>的云与湖E地块水泵房不锈钢水箱采购项目不接受超过305000元（采购项目预算金额）的报价；</w:t>
      </w:r>
    </w:p>
    <w:p>
      <w:pPr>
        <w:pStyle w:val="11"/>
        <w:spacing w:line="400" w:lineRule="exact"/>
        <w:ind w:firstLine="240" w:firstLineChars="100"/>
        <w:jc w:val="left"/>
        <w:rPr>
          <w:rFonts w:hint="eastAsia" w:ascii="仿宋" w:hAnsi="仿宋" w:eastAsia="仿宋" w:cs="仿宋"/>
          <w:sz w:val="24"/>
        </w:rPr>
      </w:pPr>
      <w:r>
        <w:rPr>
          <w:rFonts w:hint="eastAsia" w:ascii="仿宋" w:hAnsi="仿宋" w:eastAsia="仿宋" w:cs="仿宋"/>
          <w:sz w:val="24"/>
        </w:rPr>
        <w:t>投标报价为全综合报价，应包括产品价、税金、运费、装卸费、安装调试、检验、保险、培训、防疫等全部费用，采购人不再支付报价以外的任何费用）</w:t>
      </w:r>
    </w:p>
    <w:p>
      <w:pPr>
        <w:rPr>
          <w:rFonts w:hint="eastAsia" w:ascii="仿宋" w:hAnsi="仿宋" w:eastAsia="仿宋" w:cs="仿宋"/>
          <w:b/>
          <w:sz w:val="24"/>
        </w:rPr>
      </w:pPr>
      <w:r>
        <w:rPr>
          <w:rFonts w:hint="eastAsia" w:ascii="仿宋" w:hAnsi="仿宋" w:eastAsia="仿宋" w:cs="仿宋"/>
          <w:b/>
          <w:sz w:val="24"/>
        </w:rPr>
        <w:t xml:space="preserve">二、项目内容    </w:t>
      </w:r>
    </w:p>
    <w:p>
      <w:pPr>
        <w:ind w:firstLine="480" w:firstLineChars="200"/>
        <w:rPr>
          <w:rFonts w:hint="eastAsia" w:ascii="仿宋" w:hAnsi="仿宋" w:eastAsia="仿宋" w:cs="仿宋"/>
          <w:sz w:val="24"/>
          <w:szCs w:val="28"/>
        </w:rPr>
      </w:pPr>
      <w:r>
        <w:rPr>
          <w:rFonts w:hint="eastAsia" w:ascii="仿宋" w:hAnsi="仿宋" w:eastAsia="仿宋" w:cs="仿宋"/>
          <w:bCs/>
          <w:sz w:val="24"/>
        </w:rPr>
        <w:t>1、项目名称：美</w:t>
      </w:r>
      <w:r>
        <w:rPr>
          <w:rFonts w:hint="eastAsia" w:ascii="仿宋" w:hAnsi="仿宋" w:eastAsia="仿宋" w:cs="仿宋"/>
          <w:sz w:val="24"/>
        </w:rPr>
        <w:t>的云与湖E地块水泵房不锈钢水箱采购</w:t>
      </w:r>
      <w:r>
        <w:rPr>
          <w:rFonts w:hint="eastAsia" w:ascii="仿宋" w:hAnsi="仿宋" w:eastAsia="仿宋" w:cs="仿宋"/>
          <w:sz w:val="24"/>
          <w:szCs w:val="28"/>
        </w:rPr>
        <w:t>项目。</w:t>
      </w:r>
    </w:p>
    <w:p>
      <w:pPr>
        <w:tabs>
          <w:tab w:val="left" w:pos="360"/>
        </w:tabs>
        <w:ind w:firstLine="480" w:firstLineChars="200"/>
        <w:rPr>
          <w:rFonts w:hint="eastAsia" w:ascii="仿宋" w:hAnsi="仿宋" w:eastAsia="仿宋" w:cs="仿宋"/>
          <w:bCs/>
          <w:sz w:val="24"/>
        </w:rPr>
      </w:pPr>
      <w:r>
        <w:rPr>
          <w:rFonts w:hint="eastAsia" w:ascii="仿宋" w:hAnsi="仿宋" w:eastAsia="仿宋" w:cs="仿宋"/>
          <w:bCs/>
          <w:sz w:val="24"/>
        </w:rPr>
        <w:t>2、计划工期：25日历天。</w:t>
      </w:r>
    </w:p>
    <w:p>
      <w:pPr>
        <w:tabs>
          <w:tab w:val="left" w:pos="360"/>
        </w:tabs>
        <w:ind w:firstLine="480" w:firstLineChars="200"/>
        <w:rPr>
          <w:rFonts w:hint="eastAsia" w:ascii="仿宋" w:hAnsi="仿宋" w:eastAsia="仿宋" w:cs="仿宋"/>
          <w:bCs/>
          <w:sz w:val="24"/>
        </w:rPr>
      </w:pPr>
      <w:r>
        <w:rPr>
          <w:rFonts w:hint="eastAsia" w:ascii="仿宋" w:hAnsi="仿宋" w:eastAsia="仿宋" w:cs="仿宋"/>
          <w:bCs/>
          <w:sz w:val="24"/>
        </w:rPr>
        <w:t>4、质量要求：合格。</w:t>
      </w:r>
    </w:p>
    <w:p>
      <w:pPr>
        <w:rPr>
          <w:rFonts w:hint="eastAsia" w:ascii="仿宋" w:hAnsi="仿宋" w:eastAsia="仿宋" w:cs="仿宋"/>
          <w:b/>
          <w:sz w:val="24"/>
        </w:rPr>
      </w:pPr>
      <w:bookmarkStart w:id="0" w:name="_Toc481146123"/>
      <w:r>
        <w:rPr>
          <w:rFonts w:hint="eastAsia" w:ascii="仿宋" w:hAnsi="仿宋" w:eastAsia="仿宋" w:cs="仿宋"/>
          <w:b/>
          <w:sz w:val="24"/>
        </w:rPr>
        <w:t>三、图纸：另附。</w:t>
      </w:r>
    </w:p>
    <w:p>
      <w:pPr>
        <w:rPr>
          <w:rFonts w:ascii="仿宋" w:hAnsi="仿宋" w:eastAsia="仿宋" w:cs="仿宋"/>
          <w:b/>
          <w:sz w:val="24"/>
        </w:rPr>
      </w:pPr>
      <w:r>
        <w:rPr>
          <w:rFonts w:hint="eastAsia" w:ascii="仿宋" w:hAnsi="仿宋" w:eastAsia="仿宋" w:cs="仿宋"/>
          <w:b/>
          <w:sz w:val="24"/>
        </w:rPr>
        <w:t>四、设备清单：</w:t>
      </w:r>
    </w:p>
    <w:tbl>
      <w:tblPr>
        <w:tblStyle w:val="16"/>
        <w:tblW w:w="12179" w:type="dxa"/>
        <w:tblInd w:w="0" w:type="dxa"/>
        <w:tblLayout w:type="autofit"/>
        <w:tblCellMar>
          <w:top w:w="15" w:type="dxa"/>
          <w:left w:w="108" w:type="dxa"/>
          <w:bottom w:w="0" w:type="dxa"/>
          <w:right w:w="108" w:type="dxa"/>
        </w:tblCellMar>
      </w:tblPr>
      <w:tblGrid>
        <w:gridCol w:w="558"/>
        <w:gridCol w:w="1360"/>
        <w:gridCol w:w="2140"/>
        <w:gridCol w:w="820"/>
        <w:gridCol w:w="646"/>
        <w:gridCol w:w="6433"/>
        <w:gridCol w:w="222"/>
      </w:tblGrid>
      <w:tr>
        <w:tblPrEx>
          <w:tblCellMar>
            <w:top w:w="15" w:type="dxa"/>
            <w:left w:w="108" w:type="dxa"/>
            <w:bottom w:w="0" w:type="dxa"/>
            <w:right w:w="108" w:type="dxa"/>
          </w:tblCellMar>
        </w:tblPrEx>
        <w:trPr>
          <w:gridAfter w:val="2"/>
          <w:wAfter w:w="6655" w:type="dxa"/>
          <w:trHeight w:val="600" w:hRule="atLeast"/>
        </w:trPr>
        <w:tc>
          <w:tcPr>
            <w:tcW w:w="55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kern w:val="0"/>
                <w:sz w:val="22"/>
                <w:szCs w:val="22"/>
              </w:rPr>
            </w:pPr>
            <w:r>
              <w:rPr>
                <w:rFonts w:hint="eastAsia" w:ascii="宋体" w:hAnsi="宋体" w:cs="宋体"/>
                <w:kern w:val="0"/>
                <w:sz w:val="22"/>
                <w:szCs w:val="22"/>
              </w:rPr>
              <w:t>序号</w:t>
            </w:r>
          </w:p>
        </w:tc>
        <w:tc>
          <w:tcPr>
            <w:tcW w:w="1360"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名称</w:t>
            </w:r>
          </w:p>
        </w:tc>
        <w:tc>
          <w:tcPr>
            <w:tcW w:w="2140"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规格参数</w:t>
            </w:r>
          </w:p>
        </w:tc>
        <w:tc>
          <w:tcPr>
            <w:tcW w:w="820"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数量</w:t>
            </w:r>
          </w:p>
        </w:tc>
        <w:tc>
          <w:tcPr>
            <w:tcW w:w="646"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单位</w:t>
            </w:r>
          </w:p>
        </w:tc>
      </w:tr>
      <w:tr>
        <w:tblPrEx>
          <w:tblCellMar>
            <w:top w:w="15" w:type="dxa"/>
            <w:left w:w="108" w:type="dxa"/>
            <w:bottom w:w="0" w:type="dxa"/>
            <w:right w:w="108" w:type="dxa"/>
          </w:tblCellMar>
        </w:tblPrEx>
        <w:trPr>
          <w:gridAfter w:val="2"/>
          <w:wAfter w:w="6655" w:type="dxa"/>
          <w:trHeight w:val="2460" w:hRule="atLeast"/>
        </w:trPr>
        <w:tc>
          <w:tcPr>
            <w:tcW w:w="558"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1</w:t>
            </w:r>
          </w:p>
        </w:tc>
        <w:tc>
          <w:tcPr>
            <w:tcW w:w="13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316L不锈钢水箱</w:t>
            </w:r>
          </w:p>
        </w:tc>
        <w:tc>
          <w:tcPr>
            <w:tcW w:w="2140" w:type="dxa"/>
            <w:tcBorders>
              <w:top w:val="nil"/>
              <w:left w:val="nil"/>
              <w:bottom w:val="single" w:color="auto" w:sz="4" w:space="0"/>
              <w:right w:val="single" w:color="auto" w:sz="4" w:space="0"/>
            </w:tcBorders>
            <w:shd w:val="clear" w:color="000000" w:fill="FFFFFF"/>
            <w:vAlign w:val="center"/>
          </w:tcPr>
          <w:p>
            <w:pPr>
              <w:widowControl/>
              <w:jc w:val="left"/>
              <w:rPr>
                <w:rFonts w:hint="eastAsia" w:ascii="宋体" w:hAnsi="宋体" w:cs="宋体"/>
                <w:b/>
                <w:bCs/>
                <w:color w:val="FF0000"/>
                <w:kern w:val="0"/>
                <w:sz w:val="22"/>
                <w:szCs w:val="22"/>
              </w:rPr>
            </w:pPr>
            <w:r>
              <w:rPr>
                <w:rFonts w:hint="eastAsia" w:ascii="宋体" w:hAnsi="宋体" w:cs="宋体"/>
                <w:b/>
                <w:bCs/>
                <w:color w:val="FF0000"/>
                <w:kern w:val="0"/>
                <w:sz w:val="22"/>
                <w:szCs w:val="22"/>
              </w:rPr>
              <w:t>尺寸</w:t>
            </w:r>
            <w:r>
              <w:rPr>
                <w:rFonts w:hint="eastAsia" w:ascii="宋体" w:hAnsi="宋体" w:cs="宋体"/>
                <w:color w:val="FF0000"/>
                <w:kern w:val="0"/>
                <w:sz w:val="22"/>
                <w:szCs w:val="22"/>
              </w:rPr>
              <w:t>：3m*10m*2.5m</w:t>
            </w:r>
            <w:r>
              <w:rPr>
                <w:rFonts w:hint="eastAsia" w:ascii="宋体" w:hAnsi="宋体" w:cs="宋体"/>
                <w:b/>
                <w:bCs/>
                <w:color w:val="FF0000"/>
                <w:kern w:val="0"/>
                <w:sz w:val="22"/>
                <w:szCs w:val="22"/>
              </w:rPr>
              <w:t>厚度</w:t>
            </w:r>
            <w:r>
              <w:rPr>
                <w:rFonts w:hint="eastAsia" w:ascii="宋体" w:hAnsi="宋体" w:cs="宋体"/>
                <w:color w:val="FF0000"/>
                <w:kern w:val="0"/>
                <w:sz w:val="22"/>
                <w:szCs w:val="22"/>
              </w:rPr>
              <w:t>：水箱底板厚度：3.0mm、下侧板厚度：2.5mm、上侧板厚度：2.0mm、中侧板厚度：2.0mm、顶板厚度：2.0mm。</w:t>
            </w:r>
          </w:p>
        </w:tc>
        <w:tc>
          <w:tcPr>
            <w:tcW w:w="820"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 xml:space="preserve">2.00 </w:t>
            </w:r>
          </w:p>
        </w:tc>
        <w:tc>
          <w:tcPr>
            <w:tcW w:w="646"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座</w:t>
            </w:r>
          </w:p>
        </w:tc>
      </w:tr>
      <w:tr>
        <w:tblPrEx>
          <w:tblCellMar>
            <w:top w:w="15" w:type="dxa"/>
            <w:left w:w="108" w:type="dxa"/>
            <w:bottom w:w="0" w:type="dxa"/>
            <w:right w:w="108" w:type="dxa"/>
          </w:tblCellMar>
        </w:tblPrEx>
        <w:trPr>
          <w:gridAfter w:val="1"/>
          <w:wAfter w:w="222" w:type="dxa"/>
          <w:trHeight w:val="882" w:hRule="atLeast"/>
        </w:trPr>
        <w:tc>
          <w:tcPr>
            <w:tcW w:w="11957" w:type="dxa"/>
            <w:gridSpan w:val="6"/>
            <w:tcBorders>
              <w:top w:val="nil"/>
              <w:left w:val="nil"/>
              <w:bottom w:val="nil"/>
              <w:right w:val="nil"/>
            </w:tcBorders>
            <w:shd w:val="clear" w:color="000000" w:fill="FFFFFF"/>
            <w:vAlign w:val="center"/>
          </w:tcPr>
          <w:p>
            <w:pPr>
              <w:widowControl/>
              <w:jc w:val="left"/>
              <w:rPr>
                <w:rFonts w:hint="eastAsia" w:ascii="宋体" w:hAnsi="宋体" w:cs="宋体"/>
                <w:kern w:val="0"/>
                <w:sz w:val="22"/>
                <w:szCs w:val="22"/>
              </w:rPr>
            </w:pPr>
            <w:r>
              <w:rPr>
                <w:rFonts w:hint="eastAsia" w:ascii="宋体" w:hAnsi="宋体" w:cs="宋体"/>
                <w:kern w:val="0"/>
                <w:sz w:val="22"/>
                <w:szCs w:val="22"/>
              </w:rPr>
              <w:t>注：生活水箱采用316L不锈钢水箱,水箱自带上人孔、放空管、溢流管、水位计。</w:t>
            </w:r>
          </w:p>
        </w:tc>
      </w:tr>
      <w:tr>
        <w:tblPrEx>
          <w:tblCellMar>
            <w:top w:w="15" w:type="dxa"/>
            <w:left w:w="108" w:type="dxa"/>
            <w:bottom w:w="0" w:type="dxa"/>
            <w:right w:w="108" w:type="dxa"/>
          </w:tblCellMar>
        </w:tblPrEx>
        <w:trPr>
          <w:gridAfter w:val="1"/>
          <w:wAfter w:w="222" w:type="dxa"/>
          <w:trHeight w:val="312" w:hRule="atLeast"/>
        </w:trPr>
        <w:tc>
          <w:tcPr>
            <w:tcW w:w="11957" w:type="dxa"/>
            <w:gridSpan w:val="6"/>
            <w:vMerge w:val="restart"/>
            <w:tcBorders>
              <w:top w:val="nil"/>
              <w:left w:val="nil"/>
              <w:bottom w:val="nil"/>
              <w:right w:val="nil"/>
            </w:tcBorders>
            <w:shd w:val="clear" w:color="000000" w:fill="FFFFFF"/>
            <w:vAlign w:val="center"/>
          </w:tcPr>
          <w:p>
            <w:pPr>
              <w:widowControl/>
              <w:jc w:val="left"/>
              <w:rPr>
                <w:rFonts w:ascii="宋体" w:hAnsi="宋体" w:cs="宋体"/>
                <w:kern w:val="0"/>
                <w:sz w:val="22"/>
                <w:szCs w:val="22"/>
              </w:rPr>
            </w:pPr>
            <w:r>
              <w:rPr>
                <w:rFonts w:hint="eastAsia" w:ascii="宋体" w:hAnsi="宋体" w:cs="宋体"/>
                <w:kern w:val="0"/>
                <w:sz w:val="22"/>
                <w:szCs w:val="22"/>
              </w:rPr>
              <w:t>含税总价已包含:设备费、包装费、运输及保险费、装卸费、安装费、培训费及与所供货物有关</w:t>
            </w:r>
          </w:p>
          <w:p>
            <w:pPr>
              <w:widowControl/>
              <w:jc w:val="left"/>
              <w:rPr>
                <w:rFonts w:hint="eastAsia" w:ascii="宋体" w:hAnsi="宋体" w:cs="宋体"/>
                <w:kern w:val="0"/>
                <w:sz w:val="22"/>
                <w:szCs w:val="22"/>
              </w:rPr>
            </w:pPr>
            <w:r>
              <w:rPr>
                <w:rFonts w:hint="eastAsia" w:ascii="宋体" w:hAnsi="宋体" w:cs="宋体"/>
                <w:kern w:val="0"/>
                <w:sz w:val="22"/>
                <w:szCs w:val="22"/>
              </w:rPr>
              <w:t>的一切税费。</w:t>
            </w:r>
          </w:p>
        </w:tc>
      </w:tr>
      <w:tr>
        <w:tblPrEx>
          <w:tblCellMar>
            <w:top w:w="15" w:type="dxa"/>
            <w:left w:w="108" w:type="dxa"/>
            <w:bottom w:w="0" w:type="dxa"/>
            <w:right w:w="108" w:type="dxa"/>
          </w:tblCellMar>
        </w:tblPrEx>
        <w:trPr>
          <w:trHeight w:val="270" w:hRule="atLeast"/>
        </w:trPr>
        <w:tc>
          <w:tcPr>
            <w:tcW w:w="11957" w:type="dxa"/>
            <w:gridSpan w:val="6"/>
            <w:vMerge w:val="continue"/>
            <w:tcBorders>
              <w:top w:val="nil"/>
              <w:left w:val="nil"/>
              <w:bottom w:val="nil"/>
              <w:right w:val="nil"/>
            </w:tcBorders>
            <w:vAlign w:val="center"/>
          </w:tcPr>
          <w:p>
            <w:pPr>
              <w:widowControl/>
              <w:jc w:val="left"/>
              <w:rPr>
                <w:rFonts w:ascii="宋体" w:hAnsi="宋体" w:cs="宋体"/>
                <w:kern w:val="0"/>
                <w:sz w:val="22"/>
                <w:szCs w:val="22"/>
              </w:rPr>
            </w:pPr>
          </w:p>
        </w:tc>
        <w:tc>
          <w:tcPr>
            <w:tcW w:w="222" w:type="dxa"/>
            <w:tcBorders>
              <w:top w:val="nil"/>
              <w:left w:val="nil"/>
              <w:bottom w:val="nil"/>
              <w:right w:val="nil"/>
            </w:tcBorders>
            <w:shd w:val="clear" w:color="auto" w:fill="auto"/>
            <w:noWrap/>
            <w:vAlign w:val="center"/>
          </w:tcPr>
          <w:p>
            <w:pPr>
              <w:widowControl/>
              <w:jc w:val="left"/>
              <w:rPr>
                <w:rFonts w:hint="eastAsia" w:ascii="宋体" w:hAnsi="宋体" w:cs="宋体"/>
                <w:kern w:val="0"/>
                <w:sz w:val="22"/>
                <w:szCs w:val="22"/>
              </w:rPr>
            </w:pPr>
          </w:p>
        </w:tc>
      </w:tr>
      <w:bookmarkEnd w:id="0"/>
    </w:tbl>
    <w:p>
      <w:pPr>
        <w:spacing w:line="10" w:lineRule="atLeast"/>
        <w:ind w:right="29" w:rightChars="14"/>
        <w:rPr>
          <w:rFonts w:hint="eastAsia" w:ascii="仿宋" w:hAnsi="仿宋" w:eastAsia="仿宋" w:cs="仿宋"/>
          <w:b/>
          <w:sz w:val="24"/>
        </w:rPr>
      </w:pPr>
      <w:r>
        <w:rPr>
          <w:rFonts w:hint="eastAsia" w:ascii="仿宋" w:hAnsi="仿宋" w:eastAsia="仿宋" w:cs="仿宋"/>
          <w:b/>
          <w:sz w:val="24"/>
        </w:rPr>
        <w:t>五、技术参数及性能要求：</w:t>
      </w:r>
    </w:p>
    <w:p>
      <w:pPr>
        <w:pStyle w:val="31"/>
        <w:spacing w:line="400" w:lineRule="exact"/>
        <w:ind w:left="13" w:leftChars="6" w:firstLine="204" w:firstLineChars="85"/>
        <w:rPr>
          <w:rFonts w:hint="eastAsia" w:ascii="仿宋" w:hAnsi="仿宋" w:eastAsia="仿宋" w:cs="仿宋"/>
          <w:sz w:val="24"/>
        </w:rPr>
      </w:pPr>
      <w:r>
        <w:rPr>
          <w:rFonts w:hint="eastAsia" w:ascii="仿宋" w:hAnsi="仿宋" w:eastAsia="仿宋" w:cs="仿宋"/>
          <w:sz w:val="24"/>
        </w:rPr>
        <w:t>1.1、矩形水箱02S101。水箱材质应不低于奥氏体不锈钢316L食品级。</w:t>
      </w:r>
    </w:p>
    <w:p>
      <w:pPr>
        <w:pStyle w:val="31"/>
        <w:spacing w:line="400" w:lineRule="exact"/>
        <w:ind w:left="13" w:leftChars="6" w:firstLine="204" w:firstLineChars="85"/>
        <w:rPr>
          <w:rFonts w:hint="eastAsia" w:ascii="仿宋" w:hAnsi="仿宋" w:eastAsia="仿宋" w:cs="仿宋"/>
          <w:sz w:val="24"/>
        </w:rPr>
      </w:pPr>
      <w:r>
        <w:rPr>
          <w:rFonts w:hint="eastAsia" w:ascii="仿宋" w:hAnsi="仿宋" w:eastAsia="仿宋" w:cs="仿宋"/>
          <w:sz w:val="24"/>
        </w:rPr>
        <w:t>1.2、水箱底板厚度：3.0mm、下侧板厚度：2.5mm、上侧板厚度：2.0mm、顶板厚度：2.0mm。</w:t>
      </w:r>
    </w:p>
    <w:p>
      <w:pPr>
        <w:pStyle w:val="31"/>
        <w:spacing w:line="400" w:lineRule="exact"/>
        <w:ind w:left="13" w:leftChars="6" w:firstLine="204" w:firstLineChars="85"/>
        <w:rPr>
          <w:rFonts w:hint="eastAsia" w:ascii="仿宋" w:hAnsi="仿宋" w:eastAsia="仿宋" w:cs="仿宋"/>
          <w:sz w:val="24"/>
        </w:rPr>
      </w:pPr>
      <w:r>
        <w:rPr>
          <w:rFonts w:hint="eastAsia" w:ascii="仿宋" w:hAnsi="仿宋" w:eastAsia="仿宋" w:cs="仿宋"/>
          <w:sz w:val="24"/>
        </w:rPr>
        <w:t>2.不锈钢水箱槽钢底架采用槽钢10#,并采取防腐措施。</w:t>
      </w:r>
    </w:p>
    <w:p>
      <w:pPr>
        <w:pStyle w:val="31"/>
        <w:spacing w:line="400" w:lineRule="exact"/>
        <w:ind w:left="13" w:leftChars="6" w:firstLine="204" w:firstLineChars="85"/>
        <w:rPr>
          <w:rFonts w:hint="eastAsia" w:ascii="仿宋" w:hAnsi="仿宋" w:eastAsia="仿宋" w:cs="仿宋"/>
          <w:sz w:val="24"/>
        </w:rPr>
      </w:pPr>
      <w:r>
        <w:rPr>
          <w:rFonts w:hint="eastAsia" w:ascii="仿宋" w:hAnsi="仿宋" w:eastAsia="仿宋" w:cs="仿宋"/>
          <w:sz w:val="24"/>
        </w:rPr>
        <w:t>3.组焊地盘要求</w:t>
      </w:r>
    </w:p>
    <w:p>
      <w:pPr>
        <w:pStyle w:val="31"/>
        <w:spacing w:line="400" w:lineRule="exact"/>
        <w:ind w:left="13" w:leftChars="6" w:firstLine="204" w:firstLineChars="85"/>
        <w:rPr>
          <w:rFonts w:hint="eastAsia" w:ascii="仿宋" w:hAnsi="仿宋" w:eastAsia="仿宋" w:cs="仿宋"/>
          <w:sz w:val="24"/>
        </w:rPr>
      </w:pPr>
      <w:r>
        <w:rPr>
          <w:rFonts w:hint="eastAsia" w:ascii="仿宋" w:hAnsi="仿宋" w:eastAsia="仿宋" w:cs="仿宋"/>
          <w:sz w:val="24"/>
        </w:rPr>
        <w:t>a.依据设计要求组焊地盘，对角线允许偏差（L×1.5mm）。</w:t>
      </w:r>
    </w:p>
    <w:p>
      <w:pPr>
        <w:pStyle w:val="31"/>
        <w:spacing w:line="400" w:lineRule="exact"/>
        <w:ind w:left="13" w:leftChars="6" w:firstLine="204" w:firstLineChars="85"/>
        <w:rPr>
          <w:rFonts w:hint="eastAsia" w:ascii="仿宋" w:hAnsi="仿宋" w:eastAsia="仿宋" w:cs="仿宋"/>
          <w:sz w:val="24"/>
        </w:rPr>
      </w:pPr>
      <w:r>
        <w:rPr>
          <w:rFonts w:hint="eastAsia" w:ascii="仿宋" w:hAnsi="仿宋" w:eastAsia="仿宋" w:cs="仿宋"/>
          <w:sz w:val="24"/>
        </w:rPr>
        <w:t>b.底盘与水泥基础间间隙用铁板等垫平，找平。</w:t>
      </w:r>
    </w:p>
    <w:p>
      <w:pPr>
        <w:spacing w:line="400" w:lineRule="exact"/>
        <w:ind w:firstLine="240" w:firstLineChars="100"/>
        <w:rPr>
          <w:rFonts w:hint="eastAsia" w:ascii="仿宋" w:hAnsi="仿宋" w:eastAsia="仿宋" w:cs="仿宋"/>
          <w:sz w:val="24"/>
        </w:rPr>
      </w:pPr>
      <w:r>
        <w:rPr>
          <w:rFonts w:hint="eastAsia" w:ascii="仿宋" w:hAnsi="仿宋" w:eastAsia="仿宋" w:cs="仿宋"/>
          <w:sz w:val="24"/>
        </w:rPr>
        <w:t>4.组焊顶板要求</w:t>
      </w:r>
    </w:p>
    <w:p>
      <w:pPr>
        <w:spacing w:line="400" w:lineRule="exact"/>
        <w:ind w:firstLine="240" w:firstLineChars="100"/>
        <w:rPr>
          <w:rFonts w:hint="eastAsia" w:ascii="仿宋" w:hAnsi="仿宋" w:eastAsia="仿宋" w:cs="仿宋"/>
          <w:sz w:val="24"/>
        </w:rPr>
      </w:pPr>
      <w:r>
        <w:rPr>
          <w:rFonts w:hint="eastAsia" w:ascii="仿宋" w:hAnsi="仿宋" w:eastAsia="仿宋" w:cs="仿宋"/>
          <w:sz w:val="24"/>
        </w:rPr>
        <w:t>a.在组焊时，按设计要求将顶板反放在底盘上，然后进行拼装；</w:t>
      </w:r>
    </w:p>
    <w:p>
      <w:pPr>
        <w:spacing w:line="400" w:lineRule="exact"/>
        <w:ind w:firstLine="240" w:firstLineChars="100"/>
        <w:rPr>
          <w:rFonts w:hint="eastAsia" w:ascii="仿宋" w:hAnsi="仿宋" w:eastAsia="仿宋" w:cs="仿宋"/>
          <w:sz w:val="24"/>
        </w:rPr>
      </w:pPr>
      <w:r>
        <w:rPr>
          <w:rFonts w:hint="eastAsia" w:ascii="仿宋" w:hAnsi="仿宋" w:eastAsia="仿宋" w:cs="仿宋"/>
          <w:sz w:val="24"/>
        </w:rPr>
        <w:t>b.先将十字接头及外四边对齐后，分别点焊；</w:t>
      </w:r>
    </w:p>
    <w:p>
      <w:pPr>
        <w:spacing w:line="400" w:lineRule="exact"/>
        <w:ind w:left="239" w:leftChars="114"/>
        <w:rPr>
          <w:rFonts w:hint="eastAsia" w:ascii="仿宋" w:hAnsi="仿宋" w:eastAsia="仿宋" w:cs="仿宋"/>
          <w:sz w:val="24"/>
        </w:rPr>
      </w:pPr>
      <w:r>
        <w:rPr>
          <w:rFonts w:hint="eastAsia" w:ascii="仿宋" w:hAnsi="仿宋" w:eastAsia="仿宋" w:cs="仿宋"/>
          <w:sz w:val="24"/>
        </w:rPr>
        <w:t>c.将焊缝先由十字接合处向外施焊，同一方向焊接长度不得超过300mm,更换方向后按同样方法对应施焊，组焊完成后搬离底盘；</w:t>
      </w:r>
    </w:p>
    <w:p>
      <w:pPr>
        <w:spacing w:line="400" w:lineRule="exact"/>
        <w:ind w:firstLine="240" w:firstLineChars="100"/>
        <w:rPr>
          <w:rFonts w:hint="eastAsia" w:ascii="仿宋" w:hAnsi="仿宋" w:eastAsia="仿宋" w:cs="仿宋"/>
          <w:sz w:val="24"/>
        </w:rPr>
      </w:pPr>
      <w:r>
        <w:rPr>
          <w:rFonts w:hint="eastAsia" w:ascii="仿宋" w:hAnsi="仿宋" w:eastAsia="仿宋" w:cs="仿宋"/>
          <w:sz w:val="24"/>
        </w:rPr>
        <w:t>d.大水箱可分为若干板组焊。</w:t>
      </w:r>
    </w:p>
    <w:p>
      <w:pPr>
        <w:spacing w:line="400" w:lineRule="exact"/>
        <w:ind w:firstLine="1"/>
        <w:rPr>
          <w:rFonts w:hint="eastAsia" w:ascii="仿宋" w:hAnsi="仿宋" w:eastAsia="仿宋" w:cs="仿宋"/>
          <w:sz w:val="24"/>
        </w:rPr>
      </w:pPr>
      <w:r>
        <w:rPr>
          <w:rFonts w:hint="eastAsia" w:ascii="仿宋" w:hAnsi="仿宋" w:eastAsia="仿宋" w:cs="仿宋"/>
          <w:sz w:val="24"/>
        </w:rPr>
        <w:t>5.组焊底盘要求</w:t>
      </w:r>
    </w:p>
    <w:p>
      <w:pPr>
        <w:spacing w:line="400" w:lineRule="exact"/>
        <w:ind w:left="19" w:leftChars="9" w:firstLine="218" w:firstLineChars="91"/>
        <w:rPr>
          <w:rFonts w:hint="eastAsia" w:ascii="仿宋" w:hAnsi="仿宋" w:eastAsia="仿宋" w:cs="仿宋"/>
          <w:sz w:val="24"/>
        </w:rPr>
      </w:pPr>
      <w:r>
        <w:rPr>
          <w:rFonts w:hint="eastAsia" w:ascii="仿宋" w:hAnsi="仿宋" w:eastAsia="仿宋" w:cs="仿宋"/>
          <w:sz w:val="24"/>
        </w:rPr>
        <w:t>a.先将底盘根据设计要求，反放于底盘上，检查位置无误后，拼装并测对角线允差（L×1.5mm）,点固；</w:t>
      </w:r>
    </w:p>
    <w:p>
      <w:pPr>
        <w:spacing w:line="400" w:lineRule="exact"/>
        <w:ind w:firstLine="240" w:firstLineChars="100"/>
        <w:rPr>
          <w:rFonts w:hint="eastAsia" w:ascii="仿宋" w:hAnsi="仿宋" w:eastAsia="仿宋" w:cs="仿宋"/>
          <w:sz w:val="24"/>
        </w:rPr>
      </w:pPr>
      <w:r>
        <w:rPr>
          <w:rFonts w:hint="eastAsia" w:ascii="仿宋" w:hAnsi="仿宋" w:eastAsia="仿宋" w:cs="仿宋"/>
          <w:sz w:val="24"/>
        </w:rPr>
        <w:t>b.将十字接头及外四边对准后分别点焊接缝接头；</w:t>
      </w:r>
    </w:p>
    <w:p>
      <w:pPr>
        <w:spacing w:line="400" w:lineRule="exact"/>
        <w:ind w:firstLine="240" w:firstLineChars="100"/>
        <w:rPr>
          <w:rFonts w:hint="eastAsia" w:ascii="仿宋" w:hAnsi="仿宋" w:eastAsia="仿宋" w:cs="仿宋"/>
          <w:sz w:val="24"/>
        </w:rPr>
      </w:pPr>
      <w:r>
        <w:rPr>
          <w:rFonts w:hint="eastAsia" w:ascii="仿宋" w:hAnsi="仿宋" w:eastAsia="仿宋" w:cs="仿宋"/>
          <w:sz w:val="24"/>
        </w:rPr>
        <w:t>c.由板缝中心部位每隔50mm点固一处；</w:t>
      </w:r>
    </w:p>
    <w:p>
      <w:pPr>
        <w:spacing w:line="400" w:lineRule="exact"/>
        <w:rPr>
          <w:rFonts w:hint="eastAsia" w:ascii="仿宋" w:hAnsi="仿宋" w:eastAsia="仿宋" w:cs="仿宋"/>
          <w:sz w:val="24"/>
        </w:rPr>
      </w:pPr>
      <w:r>
        <w:rPr>
          <w:rFonts w:hint="eastAsia" w:ascii="仿宋" w:hAnsi="仿宋" w:eastAsia="仿宋" w:cs="仿宋"/>
          <w:sz w:val="24"/>
        </w:rPr>
        <w:t xml:space="preserve">  d.焊好四边所有对缝，再焊十字接头，由板缝中心位置向外分布施焊，防止凹曲变形，同一方向一次焊接长度不应超过300mm，更换方向后按同样方法对应施焊，直至焊完全部焊缝；</w:t>
      </w:r>
    </w:p>
    <w:p>
      <w:pPr>
        <w:spacing w:line="400" w:lineRule="exact"/>
        <w:ind w:firstLine="240" w:firstLineChars="100"/>
        <w:rPr>
          <w:rFonts w:hint="eastAsia" w:ascii="仿宋" w:hAnsi="仿宋" w:eastAsia="仿宋" w:cs="仿宋"/>
          <w:sz w:val="24"/>
        </w:rPr>
      </w:pPr>
      <w:r>
        <w:rPr>
          <w:rFonts w:hint="eastAsia" w:ascii="仿宋" w:hAnsi="仿宋" w:eastAsia="仿宋" w:cs="仿宋"/>
          <w:sz w:val="24"/>
        </w:rPr>
        <w:t>e.将底板立起涂刷白粉，待白粉干后，煤油渗漏检查；</w:t>
      </w:r>
    </w:p>
    <w:p>
      <w:pPr>
        <w:spacing w:line="400" w:lineRule="exact"/>
        <w:ind w:left="19" w:leftChars="9" w:firstLine="218" w:firstLineChars="91"/>
        <w:rPr>
          <w:rFonts w:hint="eastAsia" w:ascii="仿宋" w:hAnsi="仿宋" w:eastAsia="仿宋" w:cs="仿宋"/>
          <w:sz w:val="24"/>
        </w:rPr>
      </w:pPr>
      <w:r>
        <w:rPr>
          <w:rFonts w:hint="eastAsia" w:ascii="仿宋" w:hAnsi="仿宋" w:eastAsia="仿宋" w:cs="仿宋"/>
          <w:sz w:val="24"/>
        </w:rPr>
        <w:t>f.将底板正面放置底盘上，底板周边上T字接头处与底板立缝相接处向里延，板缝焊进约50mm。</w:t>
      </w:r>
    </w:p>
    <w:p>
      <w:pPr>
        <w:pStyle w:val="31"/>
        <w:spacing w:line="400" w:lineRule="exact"/>
        <w:ind w:left="1639" w:hanging="1639" w:hangingChars="683"/>
        <w:rPr>
          <w:rFonts w:hint="eastAsia" w:ascii="仿宋" w:hAnsi="仿宋" w:eastAsia="仿宋" w:cs="仿宋"/>
          <w:sz w:val="24"/>
        </w:rPr>
      </w:pPr>
      <w:r>
        <w:rPr>
          <w:rFonts w:hint="eastAsia" w:ascii="仿宋" w:hAnsi="仿宋" w:eastAsia="仿宋" w:cs="仿宋"/>
          <w:sz w:val="24"/>
        </w:rPr>
        <w:t>6.组焊壁板要求</w:t>
      </w:r>
    </w:p>
    <w:p>
      <w:pPr>
        <w:spacing w:line="400" w:lineRule="exact"/>
        <w:ind w:firstLine="240" w:firstLineChars="100"/>
        <w:rPr>
          <w:rFonts w:hint="eastAsia" w:ascii="仿宋" w:hAnsi="仿宋" w:eastAsia="仿宋" w:cs="仿宋"/>
          <w:sz w:val="24"/>
        </w:rPr>
      </w:pPr>
      <w:r>
        <w:rPr>
          <w:rFonts w:hint="eastAsia" w:ascii="仿宋" w:hAnsi="仿宋" w:eastAsia="仿宋" w:cs="仿宋"/>
          <w:sz w:val="24"/>
        </w:rPr>
        <w:t>a.按图纸要求将第一层壁板依序立于底板侧面四周上，外沿找齐，壁板接头与底板焊缝中心对齐，垂直于折边端缝处，每隔50mm点固；</w:t>
      </w:r>
    </w:p>
    <w:p>
      <w:pPr>
        <w:spacing w:line="400" w:lineRule="exact"/>
        <w:ind w:left="19" w:leftChars="9" w:firstLine="218" w:firstLineChars="91"/>
        <w:rPr>
          <w:rFonts w:hint="eastAsia" w:ascii="仿宋" w:hAnsi="仿宋" w:eastAsia="仿宋" w:cs="仿宋"/>
          <w:sz w:val="24"/>
        </w:rPr>
      </w:pPr>
      <w:r>
        <w:rPr>
          <w:rFonts w:hint="eastAsia" w:ascii="仿宋" w:hAnsi="仿宋" w:eastAsia="仿宋" w:cs="仿宋"/>
          <w:sz w:val="24"/>
        </w:rPr>
        <w:t>b.第一层壁板组完后，测对角线及垂直度，调整后再按同样方法上第二层，第三层壁板，调整方法与第一层壁板一样，将壁板与壁板折边端缝每隔50mm点固；</w:t>
      </w:r>
    </w:p>
    <w:p>
      <w:pPr>
        <w:spacing w:line="400" w:lineRule="exact"/>
        <w:ind w:firstLine="1"/>
        <w:rPr>
          <w:rFonts w:hint="eastAsia" w:ascii="仿宋" w:hAnsi="仿宋" w:eastAsia="仿宋" w:cs="仿宋"/>
          <w:sz w:val="24"/>
        </w:rPr>
      </w:pPr>
      <w:r>
        <w:rPr>
          <w:rFonts w:hint="eastAsia" w:ascii="仿宋" w:hAnsi="仿宋" w:eastAsia="仿宋" w:cs="仿宋"/>
          <w:sz w:val="24"/>
        </w:rPr>
        <w:t>7.拉筋组装及焊接要求</w:t>
      </w:r>
    </w:p>
    <w:p>
      <w:pPr>
        <w:spacing w:line="400" w:lineRule="exact"/>
        <w:ind w:left="239" w:leftChars="114"/>
        <w:rPr>
          <w:rFonts w:hint="eastAsia" w:ascii="仿宋" w:hAnsi="仿宋" w:eastAsia="仿宋" w:cs="仿宋"/>
          <w:sz w:val="24"/>
        </w:rPr>
      </w:pPr>
      <w:r>
        <w:rPr>
          <w:rFonts w:hint="eastAsia" w:ascii="仿宋" w:hAnsi="仿宋" w:eastAsia="仿宋" w:cs="仿宋"/>
          <w:sz w:val="24"/>
        </w:rPr>
        <w:t>a.用垂线调整壁板垂直度，挂下线调整板面，壁板十字交叉处焊主拉筋；</w:t>
      </w:r>
    </w:p>
    <w:p>
      <w:pPr>
        <w:spacing w:line="400" w:lineRule="exact"/>
        <w:ind w:left="239" w:leftChars="114"/>
        <w:rPr>
          <w:rFonts w:hint="eastAsia" w:ascii="仿宋" w:hAnsi="仿宋" w:eastAsia="仿宋" w:cs="仿宋"/>
          <w:sz w:val="24"/>
        </w:rPr>
      </w:pPr>
      <w:r>
        <w:rPr>
          <w:rFonts w:hint="eastAsia" w:ascii="仿宋" w:hAnsi="仿宋" w:eastAsia="仿宋" w:cs="仿宋"/>
          <w:sz w:val="24"/>
        </w:rPr>
        <w:t>b.主拉筋要横平纵直，焊接面积不应小于主拉筋面积，保证受力强度；</w:t>
      </w:r>
    </w:p>
    <w:p>
      <w:pPr>
        <w:spacing w:line="400" w:lineRule="exact"/>
        <w:ind w:left="19" w:leftChars="9" w:firstLine="218" w:firstLineChars="91"/>
        <w:rPr>
          <w:rFonts w:hint="eastAsia" w:ascii="仿宋" w:hAnsi="仿宋" w:eastAsia="仿宋" w:cs="仿宋"/>
          <w:sz w:val="24"/>
        </w:rPr>
      </w:pPr>
      <w:r>
        <w:rPr>
          <w:rFonts w:hint="eastAsia" w:ascii="仿宋" w:hAnsi="仿宋" w:eastAsia="仿宋" w:cs="仿宋"/>
          <w:sz w:val="24"/>
        </w:rPr>
        <w:t>c.所有加强拉筋在与壁板连接处先焊50mm后点固，加强拉筋端部一定要在壁板的根部（两边施焊），另一端与主拉筋相接焊牢。</w:t>
      </w:r>
    </w:p>
    <w:p>
      <w:pPr>
        <w:spacing w:line="400" w:lineRule="exact"/>
        <w:ind w:left="239" w:leftChars="114"/>
        <w:rPr>
          <w:rFonts w:hint="eastAsia" w:ascii="仿宋" w:hAnsi="仿宋" w:eastAsia="仿宋" w:cs="仿宋"/>
          <w:sz w:val="24"/>
        </w:rPr>
      </w:pPr>
      <w:r>
        <w:rPr>
          <w:rFonts w:hint="eastAsia" w:ascii="仿宋" w:hAnsi="仿宋" w:eastAsia="仿宋" w:cs="仿宋"/>
          <w:sz w:val="24"/>
        </w:rPr>
        <w:t>d.根据图纸要求，厂家提供详细拉筋配筋图（包括上、下、侧板接点配筋图）。</w:t>
      </w:r>
    </w:p>
    <w:p>
      <w:pPr>
        <w:spacing w:line="400" w:lineRule="exact"/>
        <w:ind w:firstLine="1"/>
        <w:rPr>
          <w:rFonts w:hint="eastAsia" w:ascii="仿宋" w:hAnsi="仿宋" w:eastAsia="仿宋" w:cs="仿宋"/>
          <w:sz w:val="24"/>
        </w:rPr>
      </w:pPr>
      <w:r>
        <w:rPr>
          <w:rFonts w:hint="eastAsia" w:ascii="仿宋" w:hAnsi="仿宋" w:eastAsia="仿宋" w:cs="仿宋"/>
          <w:sz w:val="24"/>
        </w:rPr>
        <w:t>8.整体焊接要求</w:t>
      </w:r>
    </w:p>
    <w:p>
      <w:pPr>
        <w:spacing w:line="400" w:lineRule="exact"/>
        <w:ind w:left="239" w:leftChars="114"/>
        <w:rPr>
          <w:rFonts w:hint="eastAsia" w:ascii="仿宋" w:hAnsi="仿宋" w:eastAsia="仿宋" w:cs="仿宋"/>
          <w:sz w:val="24"/>
        </w:rPr>
      </w:pPr>
      <w:r>
        <w:rPr>
          <w:rFonts w:hint="eastAsia" w:ascii="仿宋" w:hAnsi="仿宋" w:eastAsia="仿宋" w:cs="仿宋"/>
          <w:sz w:val="24"/>
        </w:rPr>
        <w:t>a.对箱体施焊，必须严格按焊接工艺执行（速度、电流、气体、流量）确保焊接熔合良好；</w:t>
      </w:r>
    </w:p>
    <w:p>
      <w:pPr>
        <w:spacing w:line="400" w:lineRule="exact"/>
        <w:ind w:firstLine="240" w:firstLineChars="100"/>
        <w:rPr>
          <w:rFonts w:hint="eastAsia" w:ascii="仿宋" w:hAnsi="仿宋" w:eastAsia="仿宋" w:cs="仿宋"/>
          <w:sz w:val="24"/>
        </w:rPr>
      </w:pPr>
      <w:r>
        <w:rPr>
          <w:rFonts w:hint="eastAsia" w:ascii="仿宋" w:hAnsi="仿宋" w:eastAsia="仿宋" w:cs="仿宋"/>
          <w:sz w:val="24"/>
        </w:rPr>
        <w:t>b.先焊壁板与底板相接的平缝，再焊壁板焊缝；</w:t>
      </w:r>
    </w:p>
    <w:p>
      <w:pPr>
        <w:spacing w:line="400" w:lineRule="exact"/>
        <w:ind w:firstLine="240" w:firstLineChars="100"/>
        <w:rPr>
          <w:rFonts w:hint="eastAsia" w:ascii="仿宋" w:hAnsi="仿宋" w:eastAsia="仿宋" w:cs="仿宋"/>
          <w:sz w:val="24"/>
        </w:rPr>
      </w:pPr>
      <w:r>
        <w:rPr>
          <w:rFonts w:hint="eastAsia" w:ascii="仿宋" w:hAnsi="仿宋" w:eastAsia="仿宋" w:cs="仿宋"/>
          <w:sz w:val="24"/>
        </w:rPr>
        <w:t>c.对箱体壁纸施焊时，必须对应分面焊接，确保板面不变形；</w:t>
      </w:r>
    </w:p>
    <w:p>
      <w:pPr>
        <w:spacing w:line="400" w:lineRule="exact"/>
        <w:ind w:left="239" w:leftChars="114"/>
        <w:rPr>
          <w:rFonts w:hint="eastAsia" w:ascii="仿宋" w:hAnsi="仿宋" w:eastAsia="仿宋" w:cs="仿宋"/>
          <w:sz w:val="24"/>
        </w:rPr>
      </w:pPr>
      <w:r>
        <w:rPr>
          <w:rFonts w:hint="eastAsia" w:ascii="仿宋" w:hAnsi="仿宋" w:eastAsia="仿宋" w:cs="仿宋"/>
          <w:sz w:val="24"/>
        </w:rPr>
        <w:t>d.整体焊接完毕，必须刷粉再用煤油试漏，确保水箱盛满水后无渗漏。</w:t>
      </w:r>
    </w:p>
    <w:p>
      <w:pPr>
        <w:spacing w:line="400" w:lineRule="exact"/>
        <w:ind w:firstLine="1"/>
        <w:rPr>
          <w:rFonts w:hint="eastAsia" w:ascii="仿宋" w:hAnsi="仿宋" w:eastAsia="仿宋" w:cs="仿宋"/>
          <w:sz w:val="24"/>
        </w:rPr>
      </w:pPr>
      <w:r>
        <w:rPr>
          <w:rFonts w:hint="eastAsia" w:ascii="仿宋" w:hAnsi="仿宋" w:eastAsia="仿宋" w:cs="仿宋"/>
          <w:sz w:val="24"/>
        </w:rPr>
        <w:t>9.煤油试漏，酸洗钝化及清洗</w:t>
      </w:r>
    </w:p>
    <w:p>
      <w:pPr>
        <w:spacing w:line="400" w:lineRule="exact"/>
        <w:ind w:left="239" w:leftChars="114"/>
        <w:rPr>
          <w:rFonts w:hint="eastAsia" w:ascii="仿宋" w:hAnsi="仿宋" w:eastAsia="仿宋" w:cs="仿宋"/>
          <w:sz w:val="24"/>
        </w:rPr>
      </w:pPr>
      <w:r>
        <w:rPr>
          <w:rFonts w:hint="eastAsia" w:ascii="仿宋" w:hAnsi="仿宋" w:eastAsia="仿宋" w:cs="仿宋"/>
          <w:sz w:val="24"/>
        </w:rPr>
        <w:t>a. 水箱及进出水箱管口等所有焊缝必须严格进行煤油试漏，杜绝渗漏；</w:t>
      </w:r>
    </w:p>
    <w:p>
      <w:pPr>
        <w:spacing w:line="400" w:lineRule="exact"/>
        <w:ind w:left="239" w:leftChars="114"/>
        <w:rPr>
          <w:rFonts w:hint="eastAsia" w:ascii="仿宋" w:hAnsi="仿宋" w:eastAsia="仿宋" w:cs="仿宋"/>
          <w:sz w:val="24"/>
        </w:rPr>
      </w:pPr>
      <w:r>
        <w:rPr>
          <w:rFonts w:hint="eastAsia" w:ascii="仿宋" w:hAnsi="仿宋" w:eastAsia="仿宋" w:cs="仿宋"/>
          <w:sz w:val="24"/>
        </w:rPr>
        <w:t>b.将所有焊缝涂酸洗钝化膏，经10min-20min后，清擦干净用水冲洗。应把残酸清洗干净。</w:t>
      </w:r>
    </w:p>
    <w:p>
      <w:pPr>
        <w:spacing w:line="400" w:lineRule="exact"/>
        <w:ind w:firstLine="1"/>
        <w:rPr>
          <w:rFonts w:hint="eastAsia" w:ascii="仿宋" w:hAnsi="仿宋" w:eastAsia="仿宋" w:cs="仿宋"/>
          <w:sz w:val="24"/>
        </w:rPr>
      </w:pPr>
      <w:r>
        <w:rPr>
          <w:rFonts w:hint="eastAsia" w:ascii="仿宋" w:hAnsi="仿宋" w:eastAsia="仿宋" w:cs="仿宋"/>
          <w:sz w:val="24"/>
        </w:rPr>
        <w:t>10.箱顶焊接要求</w:t>
      </w:r>
    </w:p>
    <w:p>
      <w:pPr>
        <w:spacing w:line="400" w:lineRule="exact"/>
        <w:ind w:firstLine="240" w:firstLineChars="100"/>
        <w:rPr>
          <w:rFonts w:hint="eastAsia" w:ascii="仿宋" w:hAnsi="仿宋" w:eastAsia="仿宋" w:cs="仿宋"/>
          <w:sz w:val="24"/>
        </w:rPr>
      </w:pPr>
      <w:r>
        <w:rPr>
          <w:rFonts w:hint="eastAsia" w:ascii="仿宋" w:hAnsi="仿宋" w:eastAsia="仿宋" w:cs="仿宋"/>
          <w:sz w:val="24"/>
        </w:rPr>
        <w:t>a.先将水箱内立柱与主拉筋交叉处焊牢，并将立柱与底板焊牢；</w:t>
      </w:r>
    </w:p>
    <w:p>
      <w:pPr>
        <w:spacing w:line="400" w:lineRule="exact"/>
        <w:ind w:left="19" w:leftChars="9" w:firstLine="218" w:firstLineChars="91"/>
        <w:rPr>
          <w:rFonts w:hint="eastAsia" w:ascii="仿宋" w:hAnsi="仿宋" w:eastAsia="仿宋" w:cs="仿宋"/>
          <w:sz w:val="24"/>
        </w:rPr>
      </w:pPr>
      <w:r>
        <w:rPr>
          <w:rFonts w:hint="eastAsia" w:ascii="仿宋" w:hAnsi="仿宋" w:eastAsia="仿宋" w:cs="仿宋"/>
          <w:sz w:val="24"/>
        </w:rPr>
        <w:t>b.将水箱顶板推放在水箱顶部，检查顶板是否均匀覆盖水箱上面，合格后每隔50mm-100mm点固，最后将与壁板相接处的焊缝全部满焊。</w:t>
      </w:r>
    </w:p>
    <w:p>
      <w:pPr>
        <w:spacing w:line="400" w:lineRule="exact"/>
        <w:ind w:left="239" w:leftChars="114"/>
        <w:rPr>
          <w:rFonts w:hint="eastAsia" w:ascii="仿宋" w:hAnsi="仿宋" w:eastAsia="仿宋" w:cs="仿宋"/>
          <w:sz w:val="24"/>
        </w:rPr>
      </w:pPr>
      <w:r>
        <w:rPr>
          <w:rFonts w:hint="eastAsia" w:ascii="仿宋" w:hAnsi="仿宋" w:eastAsia="仿宋" w:cs="仿宋"/>
          <w:sz w:val="24"/>
        </w:rPr>
        <w:t>c.人孔处盖板应加防盗锁。</w:t>
      </w:r>
    </w:p>
    <w:p>
      <w:pPr>
        <w:spacing w:line="400" w:lineRule="exact"/>
        <w:ind w:firstLine="1"/>
        <w:rPr>
          <w:rFonts w:hint="eastAsia" w:ascii="仿宋" w:hAnsi="仿宋" w:eastAsia="仿宋" w:cs="仿宋"/>
          <w:sz w:val="24"/>
        </w:rPr>
      </w:pPr>
      <w:r>
        <w:rPr>
          <w:rFonts w:hint="eastAsia" w:ascii="仿宋" w:hAnsi="仿宋" w:eastAsia="仿宋" w:cs="仿宋"/>
          <w:sz w:val="24"/>
        </w:rPr>
        <w:t>11.安装爬梯要求</w:t>
      </w:r>
    </w:p>
    <w:p>
      <w:pPr>
        <w:spacing w:line="400" w:lineRule="exact"/>
        <w:ind w:firstLine="240" w:firstLineChars="100"/>
        <w:rPr>
          <w:rFonts w:hint="eastAsia" w:ascii="仿宋" w:hAnsi="仿宋" w:eastAsia="仿宋" w:cs="仿宋"/>
          <w:sz w:val="24"/>
        </w:rPr>
      </w:pPr>
      <w:r>
        <w:rPr>
          <w:rFonts w:hint="eastAsia" w:ascii="仿宋" w:hAnsi="仿宋" w:eastAsia="仿宋" w:cs="仿宋"/>
          <w:sz w:val="24"/>
        </w:rPr>
        <w:t>a.按图纸要求，将爬梯焊在准确位置；</w:t>
      </w:r>
    </w:p>
    <w:p>
      <w:pPr>
        <w:spacing w:line="400" w:lineRule="exact"/>
        <w:ind w:left="239" w:leftChars="114"/>
        <w:rPr>
          <w:rFonts w:hint="eastAsia" w:ascii="仿宋" w:hAnsi="仿宋" w:eastAsia="仿宋" w:cs="仿宋"/>
          <w:sz w:val="24"/>
        </w:rPr>
      </w:pPr>
      <w:r>
        <w:rPr>
          <w:rFonts w:hint="eastAsia" w:ascii="仿宋" w:hAnsi="仿宋" w:eastAsia="仿宋" w:cs="仿宋"/>
          <w:sz w:val="24"/>
        </w:rPr>
        <w:t>b.爬梯连接件，要与水箱壁板垂直，连接件之间要平行对称，点固焊牢。</w:t>
      </w:r>
    </w:p>
    <w:p>
      <w:pPr>
        <w:spacing w:line="400" w:lineRule="exact"/>
        <w:ind w:firstLine="1"/>
        <w:rPr>
          <w:rFonts w:hint="eastAsia" w:ascii="仿宋" w:hAnsi="仿宋" w:eastAsia="仿宋" w:cs="仿宋"/>
          <w:sz w:val="24"/>
        </w:rPr>
      </w:pPr>
      <w:r>
        <w:rPr>
          <w:rFonts w:hint="eastAsia" w:ascii="仿宋" w:hAnsi="仿宋" w:eastAsia="仿宋" w:cs="仿宋"/>
          <w:sz w:val="24"/>
        </w:rPr>
        <w:t>12. 水箱满水试验要求</w:t>
      </w:r>
    </w:p>
    <w:p>
      <w:pPr>
        <w:spacing w:line="400" w:lineRule="exact"/>
        <w:rPr>
          <w:rFonts w:hint="eastAsia" w:ascii="仿宋" w:hAnsi="仿宋" w:eastAsia="仿宋" w:cs="仿宋"/>
          <w:sz w:val="24"/>
        </w:rPr>
      </w:pPr>
      <w:r>
        <w:rPr>
          <w:rFonts w:hint="eastAsia" w:ascii="仿宋" w:hAnsi="仿宋" w:eastAsia="仿宋" w:cs="仿宋"/>
          <w:sz w:val="24"/>
        </w:rPr>
        <w:t xml:space="preserve">    水箱整体组焊完毕后，应注满水经24h后无渗漏。溢流管应设置防虫网、透气帽应设置防虫网、水箱应设置液位显示，泄水底板做成漏斗形。</w:t>
      </w:r>
    </w:p>
    <w:p>
      <w:pPr>
        <w:spacing w:line="400" w:lineRule="exact"/>
        <w:rPr>
          <w:rFonts w:hint="eastAsia" w:ascii="仿宋" w:hAnsi="仿宋" w:eastAsia="仿宋" w:cs="仿宋"/>
          <w:sz w:val="24"/>
        </w:rPr>
      </w:pPr>
      <w:r>
        <w:rPr>
          <w:rFonts w:hint="eastAsia" w:ascii="仿宋" w:hAnsi="仿宋" w:eastAsia="仿宋" w:cs="仿宋"/>
          <w:sz w:val="24"/>
        </w:rPr>
        <w:t>13.水箱验收要求</w:t>
      </w:r>
    </w:p>
    <w:p>
      <w:pPr>
        <w:spacing w:line="400" w:lineRule="exact"/>
        <w:rPr>
          <w:rFonts w:hint="eastAsia" w:ascii="仿宋" w:hAnsi="仿宋" w:eastAsia="仿宋" w:cs="仿宋"/>
          <w:sz w:val="24"/>
        </w:rPr>
      </w:pPr>
      <w:r>
        <w:rPr>
          <w:rFonts w:hint="eastAsia" w:ascii="仿宋" w:hAnsi="仿宋" w:eastAsia="仿宋" w:cs="仿宋"/>
          <w:sz w:val="24"/>
        </w:rPr>
        <w:t xml:space="preserve">    水箱安装完毕后提供竣工报告，报告包括以下内容：</w:t>
      </w:r>
    </w:p>
    <w:p>
      <w:pPr>
        <w:spacing w:line="400" w:lineRule="exact"/>
        <w:ind w:firstLine="240" w:firstLineChars="100"/>
        <w:rPr>
          <w:rFonts w:hint="eastAsia" w:ascii="仿宋" w:hAnsi="仿宋" w:eastAsia="仿宋" w:cs="仿宋"/>
          <w:sz w:val="24"/>
        </w:rPr>
      </w:pPr>
      <w:r>
        <w:rPr>
          <w:rFonts w:hint="eastAsia" w:ascii="仿宋" w:hAnsi="仿宋" w:eastAsia="仿宋" w:cs="仿宋"/>
          <w:sz w:val="24"/>
        </w:rPr>
        <w:t>a、竣工验收应先验文件资料，资料的完整性、真实性可以反映出施工的全过程。各工序阶段的验收报告。</w:t>
      </w:r>
    </w:p>
    <w:p>
      <w:pPr>
        <w:spacing w:line="400" w:lineRule="exact"/>
        <w:ind w:firstLine="240" w:firstLineChars="100"/>
        <w:rPr>
          <w:rFonts w:hint="eastAsia" w:ascii="仿宋" w:hAnsi="仿宋" w:eastAsia="仿宋" w:cs="仿宋"/>
          <w:sz w:val="24"/>
        </w:rPr>
      </w:pPr>
      <w:r>
        <w:rPr>
          <w:rFonts w:hint="eastAsia" w:ascii="仿宋" w:hAnsi="仿宋" w:eastAsia="仿宋" w:cs="仿宋"/>
          <w:sz w:val="24"/>
        </w:rPr>
        <w:t>b、水箱板材出厂检测报告及合格证。</w:t>
      </w:r>
    </w:p>
    <w:p>
      <w:pPr>
        <w:spacing w:line="400" w:lineRule="exact"/>
        <w:ind w:firstLine="240" w:firstLineChars="100"/>
        <w:rPr>
          <w:rFonts w:hint="eastAsia" w:ascii="仿宋" w:hAnsi="仿宋" w:eastAsia="仿宋" w:cs="仿宋"/>
          <w:sz w:val="24"/>
        </w:rPr>
      </w:pPr>
      <w:r>
        <w:rPr>
          <w:rFonts w:hint="eastAsia" w:ascii="仿宋" w:hAnsi="仿宋" w:eastAsia="仿宋" w:cs="仿宋"/>
          <w:sz w:val="24"/>
        </w:rPr>
        <w:t>c、水箱板材材质的检测报告。</w:t>
      </w:r>
    </w:p>
    <w:p>
      <w:pPr>
        <w:spacing w:line="400" w:lineRule="exact"/>
        <w:ind w:firstLine="240" w:firstLineChars="100"/>
        <w:rPr>
          <w:rFonts w:hint="eastAsia" w:ascii="仿宋" w:hAnsi="仿宋" w:eastAsia="仿宋" w:cs="仿宋"/>
          <w:sz w:val="24"/>
        </w:rPr>
      </w:pPr>
      <w:r>
        <w:rPr>
          <w:rFonts w:hint="eastAsia" w:ascii="仿宋" w:hAnsi="仿宋" w:eastAsia="仿宋" w:cs="仿宋"/>
          <w:sz w:val="24"/>
        </w:rPr>
        <w:t>d、水箱清洗检测卫生报告。</w:t>
      </w:r>
    </w:p>
    <w:p>
      <w:pPr>
        <w:spacing w:line="360" w:lineRule="auto"/>
        <w:rPr>
          <w:rFonts w:hint="eastAsia" w:ascii="仿宋" w:hAnsi="仿宋" w:eastAsia="仿宋" w:cs="仿宋"/>
          <w:b/>
          <w:color w:val="000000"/>
          <w:sz w:val="24"/>
        </w:rPr>
      </w:pPr>
      <w:r>
        <w:rPr>
          <w:rFonts w:hint="eastAsia" w:ascii="仿宋" w:hAnsi="仿宋" w:eastAsia="仿宋" w:cs="仿宋"/>
          <w:b/>
          <w:color w:val="000000"/>
          <w:sz w:val="24"/>
        </w:rPr>
        <w:t>注：以上为必备功能和基本性能，投标人可增加其它功能或优于以上性能，所有设备必须满足采购人及相关标准要求。</w:t>
      </w:r>
    </w:p>
    <w:p>
      <w:pPr>
        <w:spacing w:line="400" w:lineRule="exact"/>
        <w:rPr>
          <w:rFonts w:ascii="仿宋" w:hAnsi="仿宋" w:eastAsia="仿宋" w:cs="仿宋"/>
          <w:b/>
          <w:bCs/>
          <w:sz w:val="24"/>
        </w:rPr>
      </w:pPr>
      <w:r>
        <w:rPr>
          <w:rFonts w:hint="eastAsia" w:ascii="仿宋" w:hAnsi="仿宋" w:eastAsia="仿宋" w:cs="仿宋"/>
          <w:b/>
          <w:bCs/>
          <w:sz w:val="24"/>
        </w:rPr>
        <w:t>六、售后服务要求</w:t>
      </w:r>
    </w:p>
    <w:p>
      <w:pPr>
        <w:spacing w:line="400" w:lineRule="exact"/>
        <w:ind w:firstLine="240" w:firstLineChars="100"/>
        <w:rPr>
          <w:rFonts w:ascii="仿宋" w:hAnsi="仿宋" w:eastAsia="仿宋" w:cs="仿宋"/>
          <w:sz w:val="24"/>
        </w:rPr>
      </w:pPr>
      <w:r>
        <w:rPr>
          <w:rFonts w:hint="eastAsia" w:ascii="仿宋" w:hAnsi="仿宋" w:eastAsia="仿宋" w:cs="仿宋"/>
          <w:sz w:val="24"/>
        </w:rPr>
        <w:t>1 投标人应按照本采购项目特点提供长期良好的售后服务，并在投标文件中提供详细具体的售后服务承诺条款及保证，在质保期内售后服务所需费用列入投标报价。</w:t>
      </w:r>
    </w:p>
    <w:p>
      <w:pPr>
        <w:spacing w:line="400" w:lineRule="exact"/>
        <w:ind w:firstLine="240" w:firstLineChars="100"/>
        <w:rPr>
          <w:rFonts w:ascii="仿宋" w:hAnsi="仿宋" w:eastAsia="仿宋" w:cs="仿宋"/>
          <w:sz w:val="24"/>
        </w:rPr>
      </w:pPr>
      <w:r>
        <w:rPr>
          <w:rFonts w:hint="eastAsia" w:ascii="仿宋" w:hAnsi="仿宋" w:eastAsia="仿宋" w:cs="仿宋"/>
          <w:sz w:val="24"/>
        </w:rPr>
        <w:t>2 本次招标的货物质保期不少于2年，质保期自验收合格之日起计算，质保期内中标人应免费提供因投标货物本身缺陷所导致故障的技术服务和设备维修，免费提供零部件的更换。</w:t>
      </w:r>
    </w:p>
    <w:p>
      <w:pPr>
        <w:spacing w:line="400" w:lineRule="exact"/>
        <w:ind w:firstLine="240" w:firstLineChars="100"/>
        <w:rPr>
          <w:rFonts w:hint="eastAsia"/>
        </w:rPr>
      </w:pPr>
      <w:r>
        <w:rPr>
          <w:rFonts w:hint="eastAsia" w:ascii="仿宋" w:hAnsi="仿宋" w:eastAsia="仿宋" w:cs="仿宋"/>
          <w:sz w:val="24"/>
        </w:rPr>
        <w:t>3 质保期满后,中标人应提供终身维修,用户只付零配件的费用，能长期提供良好的技术支持及零部件的优惠供应。</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iYTZlNDE0ZWEwZjE4ZjQ4YjFhMmU5NDczOGMzMzgifQ=="/>
  </w:docVars>
  <w:rsids>
    <w:rsidRoot w:val="008A08C0"/>
    <w:rsid w:val="0021385D"/>
    <w:rsid w:val="008A08C0"/>
    <w:rsid w:val="009C1CF0"/>
    <w:rsid w:val="00D66D0F"/>
    <w:rsid w:val="00F7376D"/>
    <w:rsid w:val="0AA05611"/>
    <w:rsid w:val="1CE60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rPr>
  </w:style>
  <w:style w:type="paragraph" w:styleId="7">
    <w:name w:val="heading 6"/>
    <w:basedOn w:val="1"/>
    <w:next w:val="1"/>
    <w:link w:val="23"/>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rPr>
  </w:style>
  <w:style w:type="paragraph" w:styleId="8">
    <w:name w:val="heading 7"/>
    <w:basedOn w:val="1"/>
    <w:next w:val="1"/>
    <w:link w:val="24"/>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6"/>
    <w:autoRedefine/>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7">
    <w:name w:val="Default Paragraph Font"/>
    <w:semiHidden/>
    <w:unhideWhenUsed/>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11">
    <w:name w:val="Body Text"/>
    <w:basedOn w:val="1"/>
    <w:next w:val="1"/>
    <w:link w:val="38"/>
    <w:autoRedefine/>
    <w:qFormat/>
    <w:uiPriority w:val="99"/>
    <w:rPr>
      <w:rFonts w:ascii="楷体_GB2312" w:hAnsi="Arial" w:eastAsia="楷体_GB2312" w:cstheme="minorBidi"/>
      <w:sz w:val="28"/>
      <w:szCs w:val="28"/>
    </w:rPr>
  </w:style>
  <w:style w:type="paragraph" w:styleId="12">
    <w:name w:val="footer"/>
    <w:basedOn w:val="1"/>
    <w:link w:val="37"/>
    <w:autoRedefine/>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36"/>
    <w:unhideWhenUsed/>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7"/>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autoRedefine/>
    <w:semiHidden/>
    <w:qFormat/>
    <w:uiPriority w:val="9"/>
    <w:rPr>
      <w:rFonts w:cstheme="majorBidi"/>
      <w:color w:val="104862" w:themeColor="accent1" w:themeShade="BF"/>
      <w:sz w:val="28"/>
      <w:szCs w:val="28"/>
    </w:rPr>
  </w:style>
  <w:style w:type="character" w:customStyle="1" w:styleId="22">
    <w:name w:val="标题 5 字符"/>
    <w:basedOn w:val="17"/>
    <w:link w:val="6"/>
    <w:autoRedefine/>
    <w:semiHidden/>
    <w:qFormat/>
    <w:uiPriority w:val="9"/>
    <w:rPr>
      <w:rFonts w:cstheme="majorBidi"/>
      <w:color w:val="104862" w:themeColor="accent1" w:themeShade="BF"/>
      <w:sz w:val="24"/>
      <w:szCs w:val="24"/>
    </w:rPr>
  </w:style>
  <w:style w:type="character" w:customStyle="1" w:styleId="23">
    <w:name w:val="标题 6 字符"/>
    <w:basedOn w:val="17"/>
    <w:link w:val="7"/>
    <w:autoRedefine/>
    <w:semiHidden/>
    <w:qFormat/>
    <w:uiPriority w:val="9"/>
    <w:rPr>
      <w:rFonts w:cstheme="majorBidi"/>
      <w:b/>
      <w:bCs/>
      <w:color w:val="104862" w:themeColor="accent1" w:themeShade="BF"/>
    </w:rPr>
  </w:style>
  <w:style w:type="character" w:customStyle="1" w:styleId="24">
    <w:name w:val="标题 7 字符"/>
    <w:basedOn w:val="17"/>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autoRedefine/>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rPr>
  </w:style>
  <w:style w:type="character" w:customStyle="1" w:styleId="30">
    <w:name w:val="引用 字符"/>
    <w:basedOn w:val="17"/>
    <w:link w:val="29"/>
    <w:autoRedefine/>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autoRedefine/>
    <w:qFormat/>
    <w:uiPriority w:val="0"/>
    <w:pPr>
      <w:ind w:left="720"/>
      <w:contextualSpacing/>
    </w:pPr>
    <w:rPr>
      <w:rFonts w:asciiTheme="minorHAnsi" w:hAnsiTheme="minorHAnsi" w:eastAsiaTheme="minorEastAsia" w:cstheme="minorBidi"/>
      <w:szCs w:val="22"/>
    </w:rPr>
  </w:style>
  <w:style w:type="character" w:customStyle="1" w:styleId="32">
    <w:name w:val="Intense Emphasis"/>
    <w:basedOn w:val="17"/>
    <w:autoRedefine/>
    <w:qFormat/>
    <w:uiPriority w:val="21"/>
    <w:rPr>
      <w:i/>
      <w:iCs/>
      <w:color w:val="104862" w:themeColor="accent1" w:themeShade="BF"/>
    </w:rPr>
  </w:style>
  <w:style w:type="paragraph" w:styleId="33">
    <w:name w:val="Intense Quote"/>
    <w:basedOn w:val="1"/>
    <w:next w:val="1"/>
    <w:link w:val="34"/>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rPr>
  </w:style>
  <w:style w:type="character" w:customStyle="1" w:styleId="34">
    <w:name w:val="明显引用 字符"/>
    <w:basedOn w:val="17"/>
    <w:link w:val="33"/>
    <w:autoRedefine/>
    <w:qFormat/>
    <w:uiPriority w:val="30"/>
    <w:rPr>
      <w:i/>
      <w:iCs/>
      <w:color w:val="104862" w:themeColor="accent1" w:themeShade="BF"/>
    </w:rPr>
  </w:style>
  <w:style w:type="character" w:customStyle="1" w:styleId="35">
    <w:name w:val="Intense Reference"/>
    <w:basedOn w:val="17"/>
    <w:qFormat/>
    <w:uiPriority w:val="32"/>
    <w:rPr>
      <w:b/>
      <w:bCs/>
      <w:smallCaps/>
      <w:color w:val="104862" w:themeColor="accent1" w:themeShade="BF"/>
      <w:spacing w:val="5"/>
    </w:rPr>
  </w:style>
  <w:style w:type="character" w:customStyle="1" w:styleId="36">
    <w:name w:val="页眉 字符"/>
    <w:basedOn w:val="17"/>
    <w:link w:val="13"/>
    <w:autoRedefine/>
    <w:qFormat/>
    <w:uiPriority w:val="99"/>
    <w:rPr>
      <w:sz w:val="18"/>
      <w:szCs w:val="18"/>
    </w:rPr>
  </w:style>
  <w:style w:type="character" w:customStyle="1" w:styleId="37">
    <w:name w:val="页脚 字符"/>
    <w:basedOn w:val="17"/>
    <w:link w:val="12"/>
    <w:autoRedefine/>
    <w:qFormat/>
    <w:uiPriority w:val="99"/>
    <w:rPr>
      <w:sz w:val="18"/>
      <w:szCs w:val="18"/>
    </w:rPr>
  </w:style>
  <w:style w:type="character" w:customStyle="1" w:styleId="38">
    <w:name w:val="正文文本 字符1"/>
    <w:link w:val="11"/>
    <w:autoRedefine/>
    <w:qFormat/>
    <w:uiPriority w:val="99"/>
    <w:rPr>
      <w:rFonts w:ascii="楷体_GB2312" w:hAnsi="Arial" w:eastAsia="楷体_GB2312"/>
      <w:sz w:val="28"/>
      <w:szCs w:val="28"/>
    </w:rPr>
  </w:style>
  <w:style w:type="character" w:customStyle="1" w:styleId="39">
    <w:name w:val="正文文本 字符"/>
    <w:basedOn w:val="17"/>
    <w:autoRedefine/>
    <w:semiHidden/>
    <w:qFormat/>
    <w:uiPriority w:val="99"/>
    <w:rPr>
      <w:rFonts w:ascii="Calibri" w:hAnsi="Calibri" w:eastAsia="宋体" w:cs="Times New Roman"/>
      <w:szCs w:val="24"/>
    </w:rPr>
  </w:style>
  <w:style w:type="paragraph" w:customStyle="1" w:styleId="40">
    <w:name w:val="Default"/>
    <w:autoRedefine/>
    <w:qFormat/>
    <w:uiPriority w:val="0"/>
    <w:pPr>
      <w:widowControl w:val="0"/>
      <w:autoSpaceDE w:val="0"/>
      <w:autoSpaceDN w:val="0"/>
      <w:adjustRightInd w:val="0"/>
    </w:pPr>
    <w:rPr>
      <w:rFonts w:ascii="Calibri" w:hAnsi="Calibri" w:eastAsia="宋体" w:cs="Times New Roman"/>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346</Words>
  <Characters>1978</Characters>
  <Lines>16</Lines>
  <Paragraphs>4</Paragraphs>
  <TotalTime>6</TotalTime>
  <ScaleCrop>false</ScaleCrop>
  <LinksUpToDate>false</LinksUpToDate>
  <CharactersWithSpaces>2320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2024-05-08T09:04:00Z</dcterms:created>
  <dc:creator>lenovo</dc:creator>
  <cp:lastModifiedBy>Bruno</cp:lastModifiedBy>
  <dcterms:modified xsi:type="dcterms:W3CDTF">2024-05-10T02:56:45Z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B00DAC145C444614B44835A044470F8C_12</vt:lpwstr>
  </property>
</Properties>
</file>